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people.xml" ContentType="application/vnd.openxmlformats-officedocument.wordprocessingml.people+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N°7</w:t>
      </w:r>
      <w:r>
        <w:rPr>
          <w:b/>
          <w:sz w:val="10"/>
          <w:szCs w:val="10"/>
        </w:rPr>
      </w:r>
      <w:r>
        <w:rPr>
          <w:b/>
          <w:sz w:val="10"/>
          <w:szCs w:val="10"/>
        </w:rPr>
      </w:r>
    </w:p>
    <w:tbl>
      <w:tblPr>
        <w:tblStyle w:val="913"/>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ic:nvPr/>
                            </pic:nvPicPr>
                            <pic:blipFill>
                              <a:blip r:embed="rId10"/>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42.52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221400"/>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1"/>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2.52pt;height:17.43pt;mso-wrap-distance-left:0.00pt;mso-wrap-distance-top:0.00pt;mso-wrap-distance-right:0.00pt;mso-wrap-distance-bottom:0.00pt;z-index:1;">
                      <v:imagedata r:id="rId11"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e63946"/>
              </w:rPr>
            </w:pPr>
            <w:r>
              <w:rPr>
                <w:shd w:val="clear" w:color="auto" w:fill="e63946"/>
                <w:rtl w:val="0"/>
              </w:rPr>
              <w:t xml:space="preserve">AXE I</w:t>
            </w:r>
            <w:r>
              <w:rPr>
                <w:shd w:val="clear" w:color="auto" w:fill="e63946"/>
              </w:rPr>
            </w:r>
            <w:r>
              <w:rPr>
                <w:shd w:val="clear" w:color="auto" w:fill="e63946"/>
              </w:rPr>
            </w:r>
          </w:p>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b497d6"/>
              </w:rPr>
            </w:pPr>
            <w:r>
              <w:rPr>
                <w:shd w:val="clear" w:color="auto" w:fill="b497d6"/>
                <w:rtl w:val="0"/>
              </w:rPr>
              <w:t xml:space="preserve">AXE IV</w:t>
            </w:r>
            <w:r>
              <w:rPr>
                <w:shd w:val="clear" w:color="auto" w:fill="b497d6"/>
              </w:rPr>
            </w:r>
            <w:r>
              <w:rPr>
                <w:shd w:val="clear" w:color="auto" w:fill="b497d6"/>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Validée</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Maintenir et développer les actions de médiation numérique portées par les conseillers numériques dans le Var</w:t>
            </w:r>
            <w:r>
              <w:rPr>
                <w:rtl w:val="0"/>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Pilo</w:t>
            </w:r>
            <w:commentRangeStart w:id="0"/>
            <w:commentRangeStart w:id="1"/>
            <w:r>
              <w:rPr>
                <w:rtl w:val="0"/>
              </w:rPr>
              <w:t xml:space="preserve">tage VNE (CD83 ; CAF ; Préfecture</w:t>
            </w:r>
            <w:commentRangeEnd w:id="0"/>
            <w:commentRangeEnd w:id="1"/>
            <w:r>
              <w:commentReference w:id="0"/>
              <w:commentReference w:id="1"/>
            </w:r>
            <w:r>
              <w:rPr>
                <w:rtl w:val="0"/>
              </w:rPr>
              <w:t xml:space="preserve">)</w:t>
              <w:br/>
              <w:t xml:space="preserve">Porteur CD 83 (DIM)</w:t>
            </w: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SUPPORTS/PARTENAIRES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Structures portant des postes de conseillers numériques ; Financeurs publics ; Digitaliseurs</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8"/>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L’Etat impulse, les territoires pérennisent.</w:t>
            </w:r>
            <w:r/>
          </w:p>
          <w:p>
            <w:pPr>
              <w:pBdr/>
              <w:spacing w:after="0" w:before="0" w:line="240" w:lineRule="auto"/>
              <w:ind/>
              <w:jc w:val="both"/>
              <w:rPr/>
            </w:pPr>
            <w:r>
              <w:rPr>
                <w:rtl w:val="0"/>
              </w:rPr>
              <w:t xml:space="preserve">Suite aux annonces de l’Etat pour 2025 quant au dispositif “Conseiller Numérique”, il est impératif qu’un relais territorial soit proposé. Disposant aujourd’hui de 31 conseiller</w:t>
            </w:r>
            <w:r>
              <w:rPr>
                <w:rtl w:val="0"/>
              </w:rPr>
              <w:t xml:space="preserve">s numériques dans le Var, moëlle épinière de la médiation numérique, la non reconduction des subventions de l’Etat en 2025 met en péril la pérennité d’une partie importante de ces postes. La disparition de ce maillage de professionnels de la médiation numé</w:t>
            </w:r>
            <w:r>
              <w:rPr>
                <w:rtl w:val="0"/>
              </w:rPr>
              <w:t xml:space="preserve">rique aurait un impact négatif durable sur les actions d’inclusion numérique </w:t>
            </w:r>
            <w:commentRangeStart w:id="2"/>
            <w:commentRangeStart w:id="3"/>
            <w:r/>
            <w:commentRangeEnd w:id="2"/>
            <w:commentRangeEnd w:id="3"/>
            <w:r>
              <w:commentReference w:id="2"/>
              <w:commentReference w:id="3"/>
            </w:r>
            <w:r>
              <w:rPr>
                <w:rtl w:val="0"/>
              </w:rPr>
              <w:t xml:space="preserve">dans le Var. Il est impératif aujourd’hui de changer de logique en passant d’un système de financement de poste à un système de financement d’actions et de projets.</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6"/>
              </w:numPr>
              <w:pBdr/>
              <w:spacing w:after="0" w:before="0" w:line="240" w:lineRule="auto"/>
              <w:ind w:hanging="360" w:left="720"/>
              <w:jc w:val="left"/>
              <w:rPr>
                <w:u w:val="none"/>
              </w:rPr>
            </w:pPr>
            <w:r>
              <w:rPr>
                <w:rtl w:val="0"/>
              </w:rPr>
              <w:t xml:space="preserve">Trouver des financements pour mettre en place des actions et des projets de médiation numérique</w:t>
            </w:r>
            <w:r>
              <w:rPr>
                <w:u w:val="none"/>
              </w:rPr>
            </w:r>
            <w:r>
              <w:rPr>
                <w:u w:val="none"/>
              </w:rPr>
            </w:r>
          </w:p>
          <w:p>
            <w:pPr>
              <w:numPr>
                <w:ilvl w:val="0"/>
                <w:numId w:val="6"/>
              </w:numPr>
              <w:pBdr/>
              <w:spacing w:after="0" w:before="0" w:line="240" w:lineRule="auto"/>
              <w:ind w:hanging="360" w:left="720"/>
              <w:jc w:val="left"/>
              <w:rPr>
                <w:u w:val="none"/>
              </w:rPr>
            </w:pPr>
            <w:r>
              <w:rPr>
                <w:rtl w:val="0"/>
              </w:rPr>
              <w:t xml:space="preserve">Faciliter la mise en place de ces actions et projets à la fois pour les financeurs </w:t>
            </w:r>
            <w:r>
              <w:rPr>
                <w:rtl w:val="0"/>
              </w:rPr>
              <w:t xml:space="preserve">et </w:t>
            </w:r>
            <w:r>
              <w:rPr>
                <w:rtl w:val="0"/>
              </w:rPr>
              <w:t xml:space="preserve">pour les porteurs de projet</w:t>
            </w:r>
            <w:r>
              <w:rPr>
                <w:u w:val="none"/>
              </w:rPr>
            </w:r>
            <w:r>
              <w:rPr>
                <w:u w:val="none"/>
              </w:rPr>
            </w:r>
          </w:p>
          <w:p>
            <w:pPr>
              <w:numPr>
                <w:ilvl w:val="0"/>
                <w:numId w:val="6"/>
              </w:numPr>
              <w:pBdr/>
              <w:spacing w:after="0" w:before="0" w:line="240" w:lineRule="auto"/>
              <w:ind w:hanging="360" w:left="720"/>
              <w:jc w:val="left"/>
              <w:rPr>
                <w:u w:val="none"/>
              </w:rPr>
            </w:pPr>
            <w:r>
              <w:rPr>
                <w:rtl w:val="0"/>
              </w:rPr>
              <w:t xml:space="preserve">Maintenir à jour une base de données des anciens CoNum pour faciliter les recrutements de médiateurs numériques</w:t>
            </w:r>
            <w:r>
              <w:rPr>
                <w:u w:val="none"/>
              </w:rPr>
            </w:r>
            <w:r>
              <w:rPr>
                <w:u w:val="none"/>
              </w:rPr>
            </w:r>
          </w:p>
          <w:p>
            <w:pPr>
              <w:numPr>
                <w:ilvl w:val="0"/>
                <w:numId w:val="6"/>
              </w:numPr>
              <w:pBdr/>
              <w:spacing w:after="0" w:before="0" w:line="240" w:lineRule="auto"/>
              <w:ind w:hanging="360" w:left="720"/>
              <w:jc w:val="left"/>
              <w:rPr>
                <w:u w:val="none"/>
              </w:rPr>
            </w:pPr>
            <w:r>
              <w:rPr>
                <w:rtl w:val="0"/>
              </w:rPr>
              <w:t xml:space="preserve">Compléter </w:t>
            </w:r>
            <w:r>
              <w:rPr>
                <w:rtl w:val="0"/>
              </w:rPr>
              <w:t xml:space="preserve">l’action de certains conseillers numériques pour </w:t>
            </w:r>
            <w:r>
              <w:rPr>
                <w:rtl w:val="0"/>
              </w:rPr>
              <w:t xml:space="preserve">sécuriser</w:t>
            </w:r>
            <w:r>
              <w:rPr>
                <w:rtl w:val="0"/>
              </w:rPr>
              <w:t xml:space="preserve"> </w:t>
            </w:r>
            <w:r>
              <w:rPr>
                <w:rtl w:val="0"/>
              </w:rPr>
              <w:t xml:space="preserve">leur financement à </w:t>
            </w:r>
            <w:r>
              <w:rPr>
                <w:rtl w:val="0"/>
              </w:rPr>
              <w:t xml:space="preserve">travers </w:t>
            </w:r>
            <w:r>
              <w:rPr>
                <w:rtl w:val="0"/>
              </w:rPr>
              <w:t xml:space="preserve">d’autres thématiques (handicap, santé, IA, etc.)</w:t>
            </w:r>
            <w:r>
              <w:rPr>
                <w:u w:val="none"/>
              </w:rPr>
            </w:r>
            <w:r>
              <w:rPr>
                <w:u w:val="none"/>
              </w:rP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2 - Concentrer les moyens publics et privés pour pérennisation</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5 : Passer d'une logique de services publics 100 % dématérialisés à u</w:t>
            </w:r>
            <w:r>
              <w:rPr>
                <w:rtl w:val="0"/>
              </w:rPr>
              <w:t xml:space="preserve">ne logique de services publics 100 % accessibles .</w:t>
              <w:br/>
              <w:t xml:space="preserve">Proposition n° 6 : Conserver la faculté d'un accès physique ou un accueil téléphonique aux services publics, en nombre suffisant, et pour l'ensemble des démarches dématérialisées.</w:t>
              <w:br/>
              <w:t xml:space="preserve">Proposition n° 14 : Créer</w:t>
            </w:r>
            <w:r>
              <w:rPr>
                <w:rtl w:val="0"/>
              </w:rPr>
              <w:t xml:space="preserve"> un fonds de lutte contre l'exclusion numérique pour atteindre un milliard d'euros de soutien public, mobilisable d'ici 2022. Pérenniser, au-delà de cette date, les moyens de la lutte contre l'illectronisme, politique ayant vocation à devenir structurelle.</w:t>
            </w:r>
            <w:r/>
          </w:p>
          <w:p>
            <w:pPr>
              <w:pBdr/>
              <w:spacing/>
              <w:ind/>
              <w:jc w:val="both"/>
              <w:rPr/>
            </w:pPr>
            <w:r>
              <w:rPr>
                <w:rtl w:val="0"/>
              </w:rPr>
              <w:t xml:space="preserve">Proposition n° 23 : Créer des conférences des financeurs , à l'échelle départementale, pour coordonner les interventions territoriales - publiques et privées - et permettre le déploiement du pass numérique dans l'ensemble des territoires.</w:t>
            </w:r>
            <w:r/>
          </w:p>
          <w:p>
            <w:pPr>
              <w:pBdr/>
              <w:spacing/>
              <w:ind/>
              <w:jc w:val="both"/>
              <w:rPr/>
            </w:pPr>
            <w:r>
              <w:rPr>
                <w:rtl w:val="0"/>
              </w:rPr>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17 : Pérenniser le financement par l'État des conseillers numériques France Services au moins jusqu'en 2025 et revoir leur nombre à la hausse, si nécessaire.</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1"/>
              </w:numPr>
              <w:pBdr/>
              <w:spacing/>
              <w:ind w:hanging="360" w:left="720"/>
              <w:rPr>
                <w:strike w:val="0"/>
                <w:color w:val="bfbfbf" w:themeColor="background1" w:themeShade="BF"/>
              </w:rPr>
            </w:pPr>
            <w:r>
              <w:rPr>
                <w:strike w:val="0"/>
                <w:color w:val="bfbfbf" w:themeColor="background1" w:themeShade="BF"/>
                <w:rtl w:val="0"/>
              </w:rPr>
            </w:r>
            <w:r>
              <w:rPr>
                <w:strike w:val="0"/>
                <w:color w:val="bfbfbf" w:themeColor="background1" w:themeShade="BF"/>
                <w:rtl w:val="0"/>
              </w:rPr>
              <w:t xml:space="preserve">Mesurer le besoin des structures porteurs et l’urgence de ce besoin</w:t>
            </w:r>
            <w:r>
              <w:rPr>
                <w:strike w:val="0"/>
                <w:color w:val="bfbfbf" w:themeColor="background1" w:themeShade="BF"/>
              </w:rPr>
            </w:r>
          </w:p>
          <w:p>
            <w:pPr>
              <w:numPr>
                <w:ilvl w:val="1"/>
                <w:numId w:val="1"/>
              </w:numPr>
              <w:pBdr/>
              <w:spacing/>
              <w:ind w:hanging="360" w:left="1440"/>
              <w:rPr>
                <w:strike w:val="0"/>
                <w:color w:val="bfbfbf" w:themeColor="background1" w:themeShade="BF"/>
              </w:rPr>
            </w:pPr>
            <w:r>
              <w:rPr>
                <w:strike w:val="0"/>
                <w:color w:val="bfbfbf" w:themeColor="background1" w:themeShade="BF"/>
                <w:rtl w:val="0"/>
              </w:rPr>
              <w:t xml:space="preserve">Avec la Préfecture, l’ANCT et les structures porteuses de Conseillers Numérique, établir un calendrier des fins de convention par structure.</w:t>
            </w:r>
            <w:r>
              <w:rPr>
                <w:strike w:val="0"/>
                <w:color w:val="bfbfbf" w:themeColor="background1" w:themeShade="BF"/>
              </w:rPr>
            </w:r>
          </w:p>
          <w:p>
            <w:pPr>
              <w:numPr>
                <w:ilvl w:val="1"/>
                <w:numId w:val="1"/>
              </w:numPr>
              <w:pBdr/>
              <w:spacing/>
              <w:ind w:hanging="360" w:left="1440"/>
              <w:rPr>
                <w:strike w:val="0"/>
                <w:color w:val="bfbfbf" w:themeColor="background1" w:themeShade="BF"/>
              </w:rPr>
            </w:pPr>
            <w:r>
              <w:rPr>
                <w:strike w:val="0"/>
                <w:color w:val="bfbfbf" w:themeColor="background1" w:themeShade="BF"/>
                <w:rtl w:val="0"/>
              </w:rPr>
              <w:t xml:space="preserve">Obtenir une estimation du coût de maintien d’un CoNum</w:t>
            </w:r>
            <w:r>
              <w:rPr>
                <w:strike w:val="0"/>
                <w:color w:val="bfbfbf" w:themeColor="background1" w:themeShade="BF"/>
              </w:rPr>
            </w:r>
            <w:r>
              <w:rPr>
                <w:strike w:val="0"/>
                <w:color w:val="bfbfbf" w:themeColor="background1" w:themeShade="BF"/>
              </w:rPr>
            </w:r>
          </w:p>
          <w:p>
            <w:pPr>
              <w:numPr>
                <w:ilvl w:val="0"/>
                <w:numId w:val="1"/>
              </w:numPr>
              <w:pBdr/>
              <w:spacing/>
              <w:ind w:hanging="360" w:left="720"/>
              <w:rPr/>
            </w:pPr>
            <w:r>
              <w:rPr>
                <w:rtl w:val="0"/>
              </w:rPr>
              <w:t xml:space="preserve">Maintenir une base de données des CoNum du Var pour conserver ce vivier et faciliter les recrutements de médiateurs numériques</w:t>
            </w:r>
            <w:r/>
          </w:p>
          <w:p>
            <w:pPr>
              <w:numPr>
                <w:ilvl w:val="1"/>
                <w:numId w:val="1"/>
              </w:numPr>
              <w:pBdr/>
              <w:spacing/>
              <w:ind w:hanging="360" w:left="1440"/>
              <w:rPr/>
            </w:pPr>
            <w:r>
              <w:rPr>
                <w:rtl w:val="0"/>
              </w:rPr>
              <w:t xml:space="preserve">Vérifier qu’elle n’existe pas déjà sur le site des conseillers numérique</w:t>
            </w:r>
            <w:r/>
          </w:p>
          <w:p>
            <w:pPr>
              <w:numPr>
                <w:ilvl w:val="1"/>
                <w:numId w:val="1"/>
              </w:numPr>
              <w:pBdr/>
              <w:spacing/>
              <w:ind w:hanging="360" w:left="1440"/>
              <w:rPr/>
            </w:pPr>
            <w:r>
              <w:rPr>
                <w:rtl w:val="0"/>
              </w:rPr>
              <w:t xml:space="preserve">Communiquer sur les moyens d’accéder à cette base de données</w:t>
            </w:r>
            <w:r/>
          </w:p>
          <w:p>
            <w:pPr>
              <w:numPr>
                <w:ilvl w:val="1"/>
                <w:numId w:val="1"/>
              </w:numPr>
              <w:pBdr/>
              <w:spacing/>
              <w:ind w:hanging="360" w:left="1440"/>
              <w:rPr/>
            </w:pPr>
            <w:r>
              <w:rPr>
                <w:rtl w:val="0"/>
              </w:rPr>
              <w:t xml:space="preserve">Mettre en place un process de recrutement en lien avec la plateforme </w:t>
            </w:r>
            <w:r>
              <w:rPr>
                <w:rtl w:val="0"/>
              </w:rPr>
              <w:t xml:space="preserve">des </w:t>
            </w:r>
            <w:hyperlink r:id="rId12" w:tooltip="https://conseiller-numerique.gouv.fr/" w:history="1">
              <w:r>
                <w:rPr>
                  <w:rStyle w:val="890"/>
                  <w:rtl w:val="0"/>
                </w:rPr>
                <w:t xml:space="preserve">conseillers numériques</w:t>
              </w:r>
            </w:hyperlink>
            <w:r>
              <w:rPr>
                <w:rtl w:val="0"/>
              </w:rPr>
              <w:t xml:space="preserve">.</w:t>
            </w:r>
            <w:r>
              <w:rPr>
                <w:rtl w:val="0"/>
              </w:rPr>
            </w:r>
            <w:r/>
          </w:p>
          <w:p>
            <w:pPr>
              <w:numPr>
                <w:ilvl w:val="0"/>
                <w:numId w:val="11"/>
              </w:numPr>
              <w:pBdr/>
              <w:spacing/>
              <w:ind w:hanging="360" w:left="720"/>
              <w:rPr/>
            </w:pPr>
            <w:r>
              <w:rPr>
                <w:rtl w:val="0"/>
              </w:rPr>
            </w:r>
            <w:commentRangeStart w:id="4"/>
            <w:commentRangeStart w:id="5"/>
            <w:r>
              <w:rPr>
                <w:rtl w:val="0"/>
              </w:rPr>
              <w:t xml:space="preserve">Mettre en place des moyens de financement d’actions de médiation numérique (dépendant de la réalisation des objectifs opérationnels des fiches actions ci-dessous)</w:t>
            </w:r>
            <w:r/>
            <w:r/>
          </w:p>
          <w:p>
            <w:pPr>
              <w:numPr>
                <w:ilvl w:val="1"/>
                <w:numId w:val="11"/>
              </w:numPr>
              <w:pBdr/>
              <w:spacing/>
              <w:ind w:hanging="360" w:left="1440"/>
              <w:rPr/>
            </w:pPr>
            <w:r>
              <w:rPr>
                <w:rtl w:val="0"/>
              </w:rPr>
              <w:t xml:space="preserve">En mettant en place une conférence des financeurs publics (fiche action 8)</w:t>
            </w:r>
            <w:r/>
            <w:r/>
          </w:p>
          <w:p>
            <w:pPr>
              <w:numPr>
                <w:ilvl w:val="1"/>
                <w:numId w:val="11"/>
              </w:numPr>
              <w:pBdr/>
              <w:spacing/>
              <w:ind w:hanging="360" w:left="1440"/>
              <w:rPr/>
            </w:pPr>
            <w:r>
              <w:rPr>
                <w:rtl w:val="0"/>
              </w:rPr>
              <w:t xml:space="preserve">En fédérant les “digitaliseurs” (fiche action 8a)</w:t>
            </w:r>
            <w:r/>
            <w:r/>
          </w:p>
          <w:p>
            <w:pPr>
              <w:numPr>
                <w:ilvl w:val="1"/>
                <w:numId w:val="11"/>
              </w:numPr>
              <w:pBdr/>
              <w:spacing/>
              <w:ind w:hanging="360" w:left="1440"/>
              <w:rPr>
                <w:u w:val="none"/>
              </w:rPr>
            </w:pPr>
            <w:r>
              <w:rPr>
                <w:rtl w:val="0"/>
              </w:rPr>
              <w:t xml:space="preserve">En facilitant les partenariats public-privé</w:t>
            </w:r>
            <w:r>
              <w:rPr>
                <w:u w:val="none"/>
              </w:rPr>
            </w:r>
            <w:commentRangeEnd w:id="4"/>
            <w:commentRangeEnd w:id="5"/>
            <w:r>
              <w:commentReference w:id="4"/>
              <w:commentReference w:id="5"/>
            </w:r>
            <w:r>
              <w:rPr>
                <w:u w:val="none"/>
              </w:rPr>
              <w:t xml:space="preserve"> (fiche action 10)</w:t>
            </w:r>
            <w:r>
              <w:rPr>
                <w:u w:val="none"/>
              </w:rPr>
            </w:r>
            <w:r>
              <w:rPr>
                <w:u w:val="none"/>
              </w:rPr>
            </w:r>
            <w:r>
              <w:rPr>
                <w:highlight w:val="none"/>
                <w:rtl w:val="0"/>
              </w:rPr>
            </w:r>
            <w:r>
              <w:rPr>
                <w:highlight w:val="none"/>
                <w:rtl w:val="0"/>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t xml:space="preserve">Il convient de commencer par une mesure du besoin basée sur deux éléments : l’urgence du besoin corrélé à la fin</w:t>
            </w:r>
            <w:r>
              <w:rPr>
                <w:rtl w:val="0"/>
              </w:rPr>
              <w:t xml:space="preserve"> </w:t>
            </w:r>
            <w:r>
              <w:rPr>
                <w:rtl w:val="0"/>
              </w:rPr>
              <w:t xml:space="preserve">convention</w:t>
            </w:r>
            <w:r>
              <w:rPr>
                <w:rtl w:val="0"/>
              </w:rPr>
              <w:t xml:space="preserve"> CoNum</w:t>
            </w:r>
            <w:r>
              <w:rPr>
                <w:rtl w:val="0"/>
              </w:rPr>
              <w:t xml:space="preserve">, et le besoin financier permettant le ma</w:t>
            </w:r>
            <w:r>
              <w:rPr>
                <w:rtl w:val="0"/>
              </w:rPr>
              <w:t xml:space="preserve">intien des actions au sein par une structure. Ce travail a été effectué en lien avec l’ANCT qui a produit un instantané des subventions du dispositif Conseiller Numérique dans le Var. Quant au coût d’un poste de CoNum, il est aujourd’hui estimé à 30K€ TTC.</w:t>
            </w:r>
            <w:r/>
          </w:p>
          <w:p>
            <w:pPr>
              <w:pBdr/>
              <w:tabs>
                <w:tab w:val="left" w:leader="none" w:pos="0"/>
              </w:tabs>
              <w:spacing w:line="276" w:lineRule="auto"/>
              <w:ind w:firstLine="0" w:left="0"/>
              <w:rPr/>
            </w:pPr>
            <w:r>
              <w:rPr>
                <w:rtl w:val="0"/>
              </w:rPr>
            </w:r>
            <w:r/>
          </w:p>
          <w:p>
            <w:pPr>
              <w:pBdr/>
              <w:tabs>
                <w:tab w:val="left" w:leader="none" w:pos="0"/>
              </w:tabs>
              <w:spacing w:line="276" w:lineRule="auto"/>
              <w:ind w:firstLine="0" w:left="0"/>
              <w:rPr/>
            </w:pPr>
            <w:r>
              <w:rPr>
                <w:rtl w:val="0"/>
              </w:rPr>
              <w:t xml:space="preserve">Une action à plusieurs niveaux : </w:t>
            </w:r>
            <w:r/>
          </w:p>
          <w:p>
            <w:pPr>
              <w:numPr>
                <w:ilvl w:val="0"/>
                <w:numId w:val="5"/>
              </w:numPr>
              <w:pBdr/>
              <w:tabs>
                <w:tab w:val="left" w:leader="none" w:pos="0"/>
              </w:tabs>
              <w:spacing w:line="276" w:lineRule="auto"/>
              <w:ind w:hanging="360" w:left="720"/>
              <w:rPr>
                <w:u w:val="none"/>
              </w:rPr>
            </w:pPr>
            <w:r>
              <w:rPr>
                <w:rtl w:val="0"/>
              </w:rPr>
              <w:t xml:space="preserve">Une recherche de financements à la fois publics et privés</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En identifiant toutes les sources de </w:t>
            </w:r>
            <w:r>
              <w:rPr>
                <w:rtl w:val="0"/>
              </w:rPr>
              <w:t xml:space="preserve">financements</w:t>
            </w:r>
            <w:r>
              <w:rPr>
                <w:rtl w:val="0"/>
              </w:rPr>
              <w:t xml:space="preserve"> de l’inclusion numérique sur le territoire varois, sous toutes leurs formes (subventions, AAP, marchés publics, public ou privé, etc.)</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Publics à travers la </w:t>
            </w:r>
            <w:r>
              <w:rPr>
                <w:rtl w:val="0"/>
              </w:rPr>
              <w:t xml:space="preserve">conférence</w:t>
            </w:r>
            <w:r>
              <w:rPr>
                <w:rtl w:val="0"/>
              </w:rPr>
              <w:t xml:space="preserve"> des financeurs publics</w:t>
              <w:br/>
              <w:t xml:space="preserve">Il s’agit ici d’identifier les acteurs publics qui financent des actions de médiation numérique et de les fédérer autour d’un projet commun afin de :</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Rationaliser les coûts de l’inclusion numérique en facilitant la coordination des dispositifs</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Faciliter la tâche aux postulants en harmonisant la documentation</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Faciliter la tâche aux financeurs en leur fournissant les outils de gestion d’AAP</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Publics à travers une mutualisation des politiques d’inclusion numérique à l’échelle EPCI</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Travail d’acculturation des élus</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Privés à travers la fédération des “Digitaliseurs”</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Privés à travers la veille des AAP locaux, nationaux et européens.</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En faisant évoluer les missions de certains CoNum pour trouver des financements liés à des thématiques mieux financées (handicap, scolaire, etc.)</w:t>
            </w:r>
            <w:r>
              <w:rPr>
                <w:u w:val="none"/>
              </w:rPr>
            </w:r>
            <w:r>
              <w:rPr>
                <w:u w:val="none"/>
              </w:rPr>
            </w:r>
          </w:p>
          <w:p>
            <w:pPr>
              <w:numPr>
                <w:ilvl w:val="0"/>
                <w:numId w:val="5"/>
              </w:numPr>
              <w:pBdr/>
              <w:tabs>
                <w:tab w:val="left" w:leader="none" w:pos="0"/>
              </w:tabs>
              <w:spacing w:line="276" w:lineRule="auto"/>
              <w:ind w:hanging="360" w:left="720"/>
              <w:rPr>
                <w:u w:val="none"/>
              </w:rPr>
            </w:pPr>
            <w:r>
              <w:rPr>
                <w:rtl w:val="0"/>
              </w:rPr>
              <w:t xml:space="preserve">Faciliter  le recrutement des médiateurs numériques </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Grâce à une base de données des médiateurs numériques disponibles sur le Var (via l’outil mis à disposition dans le cadre du dispositif CoNum, probablement à faire évoluer)</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Grâce à un accompagnement dans les démarches de recrutement (rédaction de la fiche de poste, de l’offre d’emploi, etc.)</w:t>
            </w:r>
            <w:r>
              <w:rPr>
                <w:u w:val="none"/>
              </w:rPr>
            </w:r>
            <w:r>
              <w:rPr>
                <w:u w:val="none"/>
              </w:rPr>
            </w:r>
          </w:p>
          <w:p>
            <w:pPr>
              <w:numPr>
                <w:ilvl w:val="0"/>
                <w:numId w:val="5"/>
              </w:numPr>
              <w:pBdr/>
              <w:tabs>
                <w:tab w:val="left" w:leader="none" w:pos="0"/>
              </w:tabs>
              <w:spacing w:line="276" w:lineRule="auto"/>
              <w:ind w:hanging="360" w:left="720"/>
              <w:rPr>
                <w:u w:val="none"/>
              </w:rPr>
            </w:pPr>
            <w:r>
              <w:rPr>
                <w:rtl w:val="0"/>
              </w:rPr>
              <w:t xml:space="preserve">Faciliter la mise en relation des financeurs et des porteurs de projets</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En menant une veille des AAP et en la </w:t>
            </w:r>
            <w:r>
              <w:rPr>
                <w:rtl w:val="0"/>
              </w:rPr>
              <w:t xml:space="preserve">communiquant</w:t>
            </w:r>
            <w:r>
              <w:rPr>
                <w:rtl w:val="0"/>
              </w:rPr>
              <w:t xml:space="preserve"> aux porteurs de projet du territoire</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Le Hub du Sud mène déjà cette veille, reste à la diffuser aux porteurs de projets (il y a une newsletter, il faut la communiquer)</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En mettant en place un catalogue des associations de l’inclusion numérique</w:t>
            </w:r>
            <w:r>
              <w:rPr>
                <w:u w:val="none"/>
              </w:rPr>
            </w:r>
            <w:r>
              <w:rPr>
                <w:u w:val="none"/>
              </w:rPr>
            </w:r>
          </w:p>
          <w:p>
            <w:pPr>
              <w:numPr>
                <w:ilvl w:val="2"/>
                <w:numId w:val="5"/>
              </w:numPr>
              <w:pBdr/>
              <w:tabs>
                <w:tab w:val="left" w:leader="none" w:pos="0"/>
              </w:tabs>
              <w:spacing w:line="276" w:lineRule="auto"/>
              <w:ind w:hanging="360" w:left="2160"/>
              <w:rPr>
                <w:u w:val="none"/>
              </w:rPr>
            </w:pPr>
            <w:r>
              <w:rPr>
                <w:rtl w:val="0"/>
              </w:rPr>
              <w:t xml:space="preserve">Template réalisé avec le concours de la FOL 83, validé par un EPCI (Coeur du Var)</w:t>
            </w:r>
            <w:r>
              <w:rPr>
                <w:u w:val="none"/>
              </w:rPr>
            </w:r>
            <w:r>
              <w:rPr>
                <w:u w:val="none"/>
              </w:rPr>
            </w:r>
          </w:p>
          <w:p>
            <w:pPr>
              <w:numPr>
                <w:ilvl w:val="1"/>
                <w:numId w:val="5"/>
              </w:numPr>
              <w:pBdr/>
              <w:tabs>
                <w:tab w:val="left" w:leader="none" w:pos="0"/>
              </w:tabs>
              <w:spacing w:line="276" w:lineRule="auto"/>
              <w:ind w:hanging="360" w:left="1440"/>
              <w:rPr>
                <w:u w:val="none"/>
              </w:rPr>
            </w:pPr>
            <w:r>
              <w:rPr>
                <w:rtl w:val="0"/>
              </w:rPr>
              <w:t xml:space="preserve">En mettant à disposition une cartographie de ce catalogue</w:t>
            </w:r>
            <w:r>
              <w:rPr>
                <w:u w:val="none"/>
              </w:rPr>
            </w:r>
            <w:r>
              <w:rPr>
                <w:u w:val="none"/>
              </w:rPr>
            </w:r>
          </w:p>
          <w:p>
            <w:pPr>
              <w:pBdr/>
              <w:tabs>
                <w:tab w:val="left" w:leader="none" w:pos="0"/>
              </w:tabs>
              <w:spacing w:line="276" w:lineRule="auto"/>
              <w:ind w:hanging="360" w:left="720"/>
              <w:rPr/>
            </w:pPr>
            <w:r>
              <w:rPr>
                <w:rtl w:val="0"/>
              </w:rPr>
              <w:t xml:space="preserve">Travail en cours de réalisation avec la service SIG du CD83</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numPr>
                <w:ilvl w:val="0"/>
                <w:numId w:val="10"/>
              </w:numPr>
              <w:pBdr/>
              <w:spacing/>
              <w:ind w:hanging="360" w:left="720"/>
              <w:rPr/>
            </w:pPr>
            <w:r>
              <w:rPr>
                <w:rtl w:val="0"/>
              </w:rPr>
              <w:t xml:space="preserve">Récupération des informations nécessaires à l’identification claire du besoin</w:t>
            </w:r>
            <w:r/>
          </w:p>
          <w:p>
            <w:pPr>
              <w:numPr>
                <w:ilvl w:val="1"/>
                <w:numId w:val="10"/>
              </w:numPr>
              <w:pBdr/>
              <w:spacing/>
              <w:ind w:hanging="360" w:left="1440"/>
              <w:rPr/>
            </w:pPr>
            <w:r>
              <w:rPr>
                <w:strike/>
                <w:rtl w:val="0"/>
              </w:rPr>
              <w:t xml:space="preserve">Obtenir une liste des postes dans le Var indiquant la date de fin de subvention supposée de chaque poste</w:t>
            </w:r>
            <w:r>
              <w:rPr>
                <w:strike/>
                <w:rtl w:val="0"/>
              </w:rPr>
            </w:r>
            <w:r/>
          </w:p>
          <w:p>
            <w:pPr>
              <w:numPr>
                <w:ilvl w:val="1"/>
                <w:numId w:val="10"/>
              </w:numPr>
              <w:pBdr/>
              <w:spacing/>
              <w:ind w:hanging="360" w:left="1440"/>
              <w:rPr/>
            </w:pPr>
            <w:r>
              <w:rPr>
                <w:rtl w:val="0"/>
              </w:rPr>
              <w:t xml:space="preserve">Valider la fin de subvention avec les structures porteuses</w:t>
            </w:r>
            <w:r/>
          </w:p>
          <w:p>
            <w:pPr>
              <w:numPr>
                <w:ilvl w:val="2"/>
                <w:numId w:val="10"/>
              </w:numPr>
              <w:pBdr/>
              <w:spacing/>
              <w:ind w:hanging="360" w:left="2160"/>
              <w:rPr/>
            </w:pPr>
            <w:r>
              <w:rPr>
                <w:rtl w:val="0"/>
              </w:rPr>
              <w:t xml:space="preserve">Remonter les informations à l’ANCT</w:t>
            </w:r>
            <w:r/>
          </w:p>
          <w:p>
            <w:pPr>
              <w:numPr>
                <w:ilvl w:val="1"/>
                <w:numId w:val="10"/>
              </w:numPr>
              <w:pBdr/>
              <w:spacing/>
              <w:ind w:hanging="360" w:left="1440"/>
              <w:rPr/>
            </w:pPr>
            <w:r>
              <w:rPr>
                <w:strike/>
                <w:rtl w:val="0"/>
              </w:rPr>
              <w:t xml:space="preserve">Estimer le besoin, par structure, pour maintenir le poste en substitution du soutien de l’Etat.</w:t>
            </w:r>
            <w:r/>
          </w:p>
          <w:p>
            <w:pPr>
              <w:numPr>
                <w:ilvl w:val="0"/>
                <w:numId w:val="10"/>
              </w:numPr>
              <w:pBdr/>
              <w:spacing/>
              <w:ind w:hanging="360" w:left="720"/>
              <w:rPr/>
            </w:pPr>
            <w:r>
              <w:rPr>
                <w:rtl w:val="0"/>
              </w:rPr>
              <w:t xml:space="preserve">Identifier les pistes de financement possibles</w:t>
            </w:r>
            <w:r/>
          </w:p>
          <w:p>
            <w:pPr>
              <w:numPr>
                <w:ilvl w:val="1"/>
                <w:numId w:val="10"/>
              </w:numPr>
              <w:pBdr/>
              <w:spacing/>
              <w:ind w:hanging="360" w:left="1440"/>
              <w:rPr/>
            </w:pPr>
            <w:r>
              <w:rPr>
                <w:rtl w:val="0"/>
              </w:rPr>
              <w:t xml:space="preserve">Via la conférence des financeurs publics</w:t>
            </w:r>
            <w:r/>
          </w:p>
          <w:p>
            <w:pPr>
              <w:numPr>
                <w:ilvl w:val="1"/>
                <w:numId w:val="10"/>
              </w:numPr>
              <w:pBdr/>
              <w:spacing/>
              <w:ind w:hanging="360" w:left="1440"/>
              <w:rPr/>
            </w:pPr>
            <w:r>
              <w:rPr>
                <w:rtl w:val="0"/>
              </w:rPr>
              <w:t xml:space="preserve">Via une participation des financeurs privés</w:t>
            </w:r>
            <w:r/>
          </w:p>
          <w:p>
            <w:pPr>
              <w:numPr>
                <w:ilvl w:val="1"/>
                <w:numId w:val="10"/>
              </w:numPr>
              <w:pBdr/>
              <w:spacing/>
              <w:ind w:hanging="360" w:left="1440"/>
              <w:rPr/>
            </w:pPr>
            <w:r>
              <w:rPr>
                <w:rtl w:val="0"/>
              </w:rPr>
              <w:t xml:space="preserve">Via l’utilisation de la possibilité d’utiliser 30% du temps du CoNum pour des prestations extérieurs (sous forme de cofinancement)</w:t>
            </w:r>
            <w:r>
              <w:rPr>
                <w:rtl w:val="0"/>
              </w:rPr>
            </w:r>
            <w:r/>
          </w:p>
          <w:p>
            <w:pPr>
              <w:numPr>
                <w:ilvl w:val="1"/>
                <w:numId w:val="10"/>
              </w:numPr>
              <w:pBdr/>
              <w:spacing/>
              <w:ind w:hanging="360" w:left="1440"/>
              <w:rPr/>
            </w:pPr>
            <w:r>
              <w:rPr>
                <w:rtl w:val="0"/>
              </w:rPr>
              <w:t xml:space="preserve">Faire évoluer les missions de certains CoNum pour toucher des financements alternatifs : </w:t>
            </w:r>
            <w:r/>
          </w:p>
          <w:p>
            <w:pPr>
              <w:numPr>
                <w:ilvl w:val="2"/>
                <w:numId w:val="10"/>
              </w:numPr>
              <w:pBdr/>
              <w:spacing/>
              <w:ind w:hanging="360" w:left="2160"/>
              <w:rPr/>
            </w:pPr>
            <w:r>
              <w:rPr>
                <w:rtl w:val="0"/>
              </w:rPr>
              <w:t xml:space="preserve">Référent numérique dans structure -&gt; E-learning Famille Rurale</w:t>
            </w:r>
            <w:r/>
          </w:p>
          <w:p>
            <w:pPr>
              <w:numPr>
                <w:ilvl w:val="2"/>
                <w:numId w:val="10"/>
              </w:numPr>
              <w:pBdr/>
              <w:spacing/>
              <w:ind w:hanging="360" w:left="2160"/>
              <w:rPr/>
            </w:pPr>
            <w:r>
              <w:rPr>
                <w:rtl w:val="0"/>
              </w:rPr>
              <w:t xml:space="preserve">Médiation numérique via AGEFIPH</w:t>
            </w:r>
            <w:r/>
          </w:p>
          <w:p>
            <w:pPr>
              <w:numPr>
                <w:ilvl w:val="2"/>
                <w:numId w:val="10"/>
              </w:numPr>
              <w:pBdr/>
              <w:spacing/>
              <w:ind w:hanging="360" w:left="2160"/>
              <w:rPr/>
            </w:pPr>
            <w:r>
              <w:rPr>
                <w:rtl w:val="0"/>
              </w:rPr>
              <w:t xml:space="preserve">Médiation numérique pour matériel reconditionné (collèges, personnes âgées, familles défavorisées, etc.)</w:t>
            </w:r>
            <w:r/>
          </w:p>
          <w:p>
            <w:pPr>
              <w:numPr>
                <w:ilvl w:val="2"/>
                <w:numId w:val="10"/>
              </w:numPr>
              <w:pBdr/>
              <w:spacing/>
              <w:ind w:hanging="360" w:left="2160"/>
              <w:rPr/>
            </w:pPr>
            <w:r>
              <w:rPr>
                <w:rtl w:val="0"/>
              </w:rPr>
              <w:t xml:space="preserve">...</w:t>
            </w:r>
            <w:r/>
          </w:p>
          <w:p>
            <w:pPr>
              <w:numPr>
                <w:ilvl w:val="1"/>
                <w:numId w:val="10"/>
              </w:numPr>
              <w:pBdr/>
              <w:spacing/>
              <w:ind w:hanging="360" w:left="1440"/>
              <w:rPr/>
            </w:pPr>
            <w:r>
              <w:rPr>
                <w:rtl w:val="0"/>
              </w:rPr>
              <w:t xml:space="preserve">Mutualisation des postes (portage EPCI au lieu de commune)</w:t>
            </w:r>
            <w:r/>
          </w:p>
          <w:p>
            <w:pPr>
              <w:numPr>
                <w:ilvl w:val="0"/>
                <w:numId w:val="10"/>
              </w:numPr>
              <w:pBdr/>
              <w:spacing/>
              <w:ind w:hanging="360" w:left="720"/>
              <w:rPr/>
            </w:pPr>
            <w:r>
              <w:rPr>
                <w:rtl w:val="0"/>
              </w:rPr>
              <w:t xml:space="preserve">Répartition des fonds CoNum dans une logique d’équité territoriale et d’intérêt du projet porté</w:t>
            </w:r>
            <w:r/>
          </w:p>
          <w:p>
            <w:pPr>
              <w:numPr>
                <w:ilvl w:val="0"/>
                <w:numId w:val="10"/>
              </w:numPr>
              <w:pBdr/>
              <w:spacing/>
              <w:ind w:hanging="360" w:left="720"/>
              <w:rPr/>
            </w:pPr>
            <w:r>
              <w:rPr>
                <w:rtl w:val="0"/>
              </w:rPr>
              <w:t xml:space="preserve">Etude d’impact</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9"/>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4"/>
              </w:numPr>
              <w:pBdr/>
              <w:spacing w:after="0" w:before="0" w:line="240" w:lineRule="auto"/>
              <w:ind w:hanging="360" w:left="425"/>
              <w:rPr>
                <w:sz w:val="24"/>
                <w:szCs w:val="24"/>
                <w:u w:val="none"/>
              </w:rPr>
            </w:pPr>
            <w:r>
              <w:rPr>
                <w:sz w:val="24"/>
                <w:szCs w:val="24"/>
                <w:rtl w:val="0"/>
              </w:rPr>
              <w:t xml:space="preserve"> DÉBUT: Rapidement car départs en cours</w:t>
            </w:r>
            <w:r>
              <w:rPr>
                <w:sz w:val="24"/>
                <w:szCs w:val="24"/>
                <w:u w:val="none"/>
              </w:rPr>
            </w:r>
            <w:r>
              <w:rPr>
                <w:sz w:val="24"/>
                <w:szCs w:val="24"/>
                <w:u w:val="none"/>
              </w:rPr>
            </w:r>
          </w:p>
          <w:p>
            <w:pPr>
              <w:pBdr/>
              <w:spacing w:after="0" w:before="0" w:line="240" w:lineRule="auto"/>
              <w:ind/>
              <w:rPr/>
            </w:pPr>
            <w:r>
              <w:rPr>
                <w:sz w:val="24"/>
                <w:szCs w:val="24"/>
                <w:rtl w:val="0"/>
              </w:rPr>
              <w:t xml:space="preserve">         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Les structures porteuses de CoNum</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Maintien du maillage des actions de médiation numérique</w:t>
            </w:r>
            <w:r>
              <w:rPr>
                <w:rtl w:val="0"/>
              </w:rPr>
            </w:r>
            <w:r/>
          </w:p>
          <w:p>
            <w:pPr>
              <w:pBdr/>
              <w:spacing w:after="0" w:before="0" w:line="240" w:lineRule="auto"/>
              <w:ind/>
              <w:rPr/>
            </w:pPr>
            <w:r>
              <w:rPr>
                <w:rtl w:val="0"/>
              </w:rPr>
              <w:t xml:space="preserve">Facilitation des recrutements de médiateurs numérique</w:t>
            </w:r>
            <w:r/>
          </w:p>
          <w:p>
            <w:pPr>
              <w:pBdr/>
              <w:spacing w:after="0" w:before="0" w:line="240" w:lineRule="auto"/>
              <w:ind/>
              <w:rPr/>
            </w:pPr>
            <w:r>
              <w:rPr>
                <w:rtl w:val="0"/>
              </w:rPr>
              <w:t xml:space="preserve">Constitution de plusieurs conférences de financeurs de l’inclusion numérique</w:t>
            </w:r>
            <w:r/>
          </w:p>
          <w:p>
            <w:pPr>
              <w:pBdr/>
              <w:spacing w:after="0" w:before="0" w:line="240" w:lineRule="auto"/>
              <w:ind/>
              <w:rPr/>
            </w:pPr>
            <w:r>
              <w:rPr>
                <w:rtl w:val="0"/>
              </w:rPr>
              <w:t xml:space="preserve">Facilitation de la mise en place des AAP et marchés publics</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À terminer</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Dans une logique de maintien des actions, à 30k le CoNum pour 30 sur le territoire, ça fait 900k€ TTC/an</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Nombres d’actions financées</w:t>
            </w:r>
            <w:r/>
          </w:p>
          <w:p>
            <w:pPr>
              <w:pBdr/>
              <w:spacing w:after="0" w:before="0" w:line="240" w:lineRule="auto"/>
              <w:ind/>
              <w:rPr/>
            </w:pPr>
            <w:r>
              <w:rPr>
                <w:rtl w:val="0"/>
              </w:rPr>
              <w:t xml:space="preserve">Nombre de personnes accompagnées</w:t>
            </w:r>
            <w:r>
              <w:rPr>
                <w:rtl w:val="0"/>
              </w:rPr>
            </w:r>
            <w:r/>
          </w:p>
          <w:p>
            <w:pPr>
              <w:pBdr/>
              <w:spacing w:after="0" w:before="0" w:line="240" w:lineRule="auto"/>
              <w:ind/>
              <w:rPr/>
            </w:pPr>
            <w:r>
              <w:rPr>
                <w:rtl w:val="0"/>
              </w:rPr>
              <w:t xml:space="preserve">Nombre de médiateurs numériques référencés et en poste</w:t>
            </w:r>
            <w:r/>
          </w:p>
          <w:p>
            <w:pPr>
              <w:pBdr/>
              <w:spacing w:after="0" w:before="0" w:line="240" w:lineRule="auto"/>
              <w:ind/>
              <w:rPr/>
            </w:pPr>
            <w:r>
              <w:rPr>
                <w:rtl w:val="0"/>
              </w:rPr>
              <w:t xml:space="preserve">Nombre de poste médiateur numérique mutualisés</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Tableau de suivi </w:t>
            </w:r>
            <w:r>
              <w:rPr>
                <w:rtl w:val="0"/>
              </w:rPr>
              <w:t xml:space="preserve">CoNum</w:t>
            </w:r>
            <w:r>
              <w:rPr>
                <w:rtl w:val="0"/>
              </w:rPr>
              <w:br/>
            </w:r>
            <w:hyperlink r:id="rId13" w:tooltip="https://www.canva.com/design/DAGngsuZLOE/fraf6uGiKfkK_yJuZB55eQ/view?utm_content=DAGngsuZLOE&amp;utm_campaign=designshare&amp;utm_medium=link2&amp;utm_source=uniquelinks&amp;utlId=h7bee8b8aac#1" w:history="1">
              <w:r>
                <w:rPr>
                  <w:rStyle w:val="890"/>
                  <w:rtl w:val="0"/>
                </w:rPr>
                <w:t xml:space="preserve">Modalités financement CoNum 2025</w:t>
              </w:r>
            </w:hyperlink>
            <w:r>
              <w:rPr>
                <w:rtl w:val="0"/>
              </w:rPr>
              <w:br/>
            </w:r>
            <w:hyperlink r:id="rId14" w:tooltip="https://aide.conseiller-numerique.gouv.fr/fr/article/les-prestations-dun-conseiller-numerique-peuvent-elles-etre-facturees-1mptcq/" w:history="1">
              <w:r>
                <w:rPr>
                  <w:color w:val="1155cc"/>
                  <w:u w:val="single"/>
                  <w:rtl w:val="0"/>
                </w:rPr>
                <w:t xml:space="preserve">30% du temps CoNum en co-financement</w:t>
              </w:r>
            </w:hyperlink>
            <w:r>
              <w:rPr>
                <w:rtl w:val="0"/>
              </w:rPr>
            </w:r>
            <w:r/>
          </w:p>
          <w:p>
            <w:pPr>
              <w:pBdr/>
              <w:spacing w:after="0" w:before="0" w:line="240" w:lineRule="auto"/>
              <w:ind/>
              <w:rPr/>
            </w:pPr>
            <w:r/>
            <w:hyperlink r:id="rId15" w:tooltip="https://resana.numerique.gouv.fr/public/information/consulterAccessUrl?cle_url=1370922170AW0EYgoCAGsMMAMzUDxQdFc7BTcGJwkwAW4DZlQ8XmYBNAc2BmdXZlA3BGFUYA==" w:history="1">
              <w:r>
                <w:rPr>
                  <w:rStyle w:val="890"/>
                </w:rPr>
              </w:r>
              <w:r>
                <w:rPr>
                  <w:rStyle w:val="890"/>
                  <w:rtl w:val="0"/>
                </w:rPr>
                <w:t xml:space="preserve">Statistiques CoNums du Var</w:t>
              </w:r>
              <w:r>
                <w:rPr>
                  <w:rStyle w:val="890"/>
                  <w:rtl w:val="0"/>
                </w:rPr>
              </w:r>
              <w:r>
                <w:rPr>
                  <w:rStyle w:val="890"/>
                </w:rPr>
              </w:r>
            </w:hyperlink>
            <w:r/>
            <w:r/>
          </w:p>
          <w:p>
            <w:pPr>
              <w:pBdr/>
              <w:spacing w:after="0" w:before="0" w:line="240" w:lineRule="auto"/>
              <w:ind/>
              <w:rPr/>
            </w:pPr>
            <w:r/>
            <w:hyperlink r:id="rId16" w:tooltip="https://www.canva.com/design/DAGxJu9gKhA/GGY8LBBBP-VlYbe-5eNyDA/edit" w:history="1">
              <w:r>
                <w:rPr>
                  <w:color w:val="1155cc"/>
                  <w:u w:val="single"/>
                  <w:rtl w:val="0"/>
                </w:rPr>
                <w:t xml:space="preserve">Tableau blanc Canva = resultat des sessions de travail</w:t>
              </w:r>
            </w:hyperlink>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ean-Pierre SEVAL" w:date="2025-10-09T23:25:50Z" w:initials="JS">
    <w:p w14:paraId="00000001" w14:textId="00000001">
      <w:pPr>
        <w:spacing w:line="240" w:after="0" w:lineRule="auto" w:before="0"/>
        <w:ind w:firstLine="0" w:left="0" w:right="0"/>
        <w:jc w:val="left"/>
      </w:pPr>
      <w:r>
        <w:rPr>
          <w:rFonts w:eastAsia="Arial" w:ascii="Arial" w:hAnsi="Arial" w:cs="Arial"/>
          <w:sz w:val="22"/>
        </w:rPr>
        <w:t xml:space="preserve">c'est une étape de la misen placec'est cette fiche ou des fiches actions autres?</w:t>
      </w:r>
    </w:p>
  </w:comment>
  <w:comment w:id="5" w:author="Valentin BOUSSET" w:date="2025-10-10T09:01:28Z" w:initials="VB">
    <w:p w14:paraId="00000002" w14:textId="00000002">
      <w:pPr>
        <w:spacing w:line="240" w:after="0" w:lineRule="auto" w:before="0"/>
        <w:ind w:firstLine="0" w:left="0" w:right="0"/>
        <w:jc w:val="left"/>
      </w:pPr>
      <w:r>
        <w:rPr>
          <w:rFonts w:eastAsia="Arial" w:ascii="Arial" w:hAnsi="Arial" w:cs="Arial"/>
          <w:sz w:val="22"/>
        </w:rPr>
        <w:t xml:space="preserve">Trouver des financements est une condition sine qua non de cette fiche action, mais l'action n'est pas portée directement dedans. Pour faciliter la lecture, je vais ajouter la mention "fiche action X" derrière les propositions ici</w:t>
      </w:r>
    </w:p>
  </w:comment>
  <w:comment w:id="2" w:author="Jean-Pierre SEVAL" w:date="2025-10-09T23:05:40Z" w:initials="JS">
    <w:p w14:paraId="00000003" w14:textId="00000003">
      <w:pPr>
        <w:spacing w:line="240" w:after="0" w:lineRule="auto" w:before="0"/>
        <w:ind w:firstLine="0" w:left="0" w:right="0"/>
        <w:jc w:val="left"/>
      </w:pPr>
      <w:r>
        <w:rPr>
          <w:rFonts w:eastAsia="Arial" w:ascii="Arial" w:hAnsi="Arial" w:cs="Arial"/>
          <w:sz w:val="22"/>
        </w:rPr>
        <w:t xml:space="preserve">?</w:t>
      </w:r>
    </w:p>
  </w:comment>
  <w:comment w:id="3" w:author="Valentin BOUSSET" w:date="2025-10-10T08:56:53Z" w:initials="VB">
    <w:p w14:paraId="00000004" w14:textId="00000004">
      <w:pPr>
        <w:spacing w:line="240" w:after="0" w:lineRule="auto" w:before="0"/>
        <w:ind w:firstLine="0" w:left="0" w:right="0"/>
        <w:jc w:val="left"/>
      </w:pPr>
      <w:r>
        <w:rPr>
          <w:rFonts w:eastAsia="Arial" w:ascii="Arial" w:hAnsi="Arial" w:cs="Arial"/>
          <w:sz w:val="22"/>
        </w:rPr>
        <w:t xml:space="preserve">Enlevé. Je voulais faire la distinction avec l'inclusion numérique par l'action sur la fracture numérique territoriale</w:t>
      </w:r>
    </w:p>
  </w:comment>
  <w:comment w:id="0" w:author="Jean-Pierre SEVAL" w:date="2025-10-09T23:04:08Z" w:initials="JS">
    <w:p w14:paraId="00000005" w14:textId="00000005">
      <w:pPr>
        <w:spacing w:line="240" w:after="0" w:lineRule="auto" w:before="0"/>
        <w:ind w:firstLine="0" w:left="0" w:right="0"/>
        <w:jc w:val="left"/>
      </w:pPr>
      <w:r>
        <w:rPr>
          <w:rFonts w:eastAsia="Arial" w:ascii="Arial" w:hAnsi="Arial" w:cs="Arial"/>
          <w:sz w:val="22"/>
        </w:rPr>
        <w:t xml:space="preserve">préciser qui est le porteur</w:t>
      </w:r>
    </w:p>
  </w:comment>
  <w:comment w:id="1" w:author="Valentin BOUSSET" w:date="2025-10-10T08:26:36Z" w:initials="VB">
    <w:p w14:paraId="00000006" w14:textId="00000006">
      <w:pPr>
        <w:spacing w:line="240" w:after="0" w:lineRule="auto" w:before="0"/>
        <w:ind w:firstLine="0" w:left="0" w:right="0"/>
        <w:jc w:val="left"/>
      </w:pPr>
      <w:r>
        <w:rPr>
          <w:rFonts w:eastAsia="Arial" w:ascii="Arial" w:hAnsi="Arial" w:cs="Arial"/>
          <w:sz w:val="22"/>
        </w:rPr>
        <w:t xml:space="preserve">Je ne sais pas qui est le porteur. C'est un peu le même sujet pour les fiches action 8 et 8a, je n'ai pas connaissance qu'un des trois se soit particulièrement mis en avant. Mais ça peut être une de nos pistes de travail pour début novembre.</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09-02T09:24:09Z">
    <w:p w14:paraId="00000001" w14:textId="00000001">
      <w:pPr>
        <w:spacing w:line="240" w:after="0" w:lineRule="auto" w:before="0"/>
        <w:ind w:firstLine="0" w:left="0" w:right="0"/>
        <w:jc w:val="left"/>
      </w:pPr>
      <w:r>
        <w:rPr>
          <w:rFonts w:eastAsia="Arial" w:ascii="Arial" w:hAnsi="Arial" w:cs="Arial"/>
          <w:sz w:val="22"/>
        </w:rPr>
        <w:t xml:space="preserve">Pourquoi pas plus général ? Cette fiche action est à l'intersection de plusieurs autres, mais l'idée est de montrer que les CoNum sont aujourd'hui la moelle épinière de l'action d'inclusion numérique. À terme, dès lors que les acteurs sont recensés dans la communauté des médiateurs numériques, ils peuvent tout autant bénéficier que les autres des fruits de cette fiche action s'ils le souhaitent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Ex w15:paraId="00000002" w15:paraIdParent="00000001" w15:done="0"/>
  <w15:commentEx w15:paraId="00000003" w15:done="1"/>
  <w15:commentEx w15:paraId="00000004" w15:paraIdParent="00000003" w15:done="0"/>
  <w15:commentEx w15:paraId="00000005" w15:done="1"/>
  <w15:commentEx w15:paraId="00000006" w15:paraIdParent="00000005"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C23DB32" w16cex:dateUtc="2025-10-09T21:25:50Z"/>
  <w16cex:commentExtensible w16cex:durableId="0E90E96E" w16cex:dateUtc="2025-10-10T07:01:28Z"/>
  <w16cex:commentExtensible w16cex:durableId="5A287469" w16cex:dateUtc="2025-10-09T21:05:40Z"/>
  <w16cex:commentExtensible w16cex:durableId="66CEABE3" w16cex:dateUtc="2025-10-10T06:56:53Z"/>
  <w16cex:commentExtensible w16cex:durableId="66653D95" w16cex:dateUtc="2025-10-09T21:04:08Z"/>
  <w16cex:commentExtensible w16cex:durableId="0B347F63" w16cex:dateUtc="2025-10-10T06:26:36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5C23DB32"/>
  <w16cid:commentId w16cid:paraId="00000002" w16cid:durableId="0E90E96E"/>
  <w16cid:commentId w16cid:paraId="00000003" w16cid:durableId="5A287469"/>
  <w16cid:commentId w16cid:paraId="00000004" w16cid:durableId="66CEABE3"/>
  <w16cid:commentId w16cid:paraId="00000005" w16cid:durableId="66653D95"/>
  <w16cid:commentId w16cid:paraId="00000006" w16cid:durableId="0B347F63"/>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5B6C4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8">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entin BOUSSET">
    <w15:presenceInfo w15:providerId="Teamlab" w15:userId="resana.numerique.gouv.A1201109"/>
  </w15:person>
  <w15:person w15:author="Jean-Pierre SEVAL">
    <w15:presenceInfo w15:providerId="Teamlab" w15:userId="resana.numerique.gouv.A120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w:basedOn w:val="72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Table Grid Light"/>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72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7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7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7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7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7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7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7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7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7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7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7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7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7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7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7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7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7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7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7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7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7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7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7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7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7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7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7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7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7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7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7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7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7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7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7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7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7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7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7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7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7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7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7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7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7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7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4">
    <w:name w:val="List Table 7 Colorful - Accent 2"/>
    <w:basedOn w:val="7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5">
    <w:name w:val="List Table 7 Colorful - Accent 3"/>
    <w:basedOn w:val="7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6">
    <w:name w:val="List Table 7 Colorful - Accent 4"/>
    <w:basedOn w:val="7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7">
    <w:name w:val="List Table 7 Colorful - Accent 5"/>
    <w:basedOn w:val="7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8">
    <w:name w:val="List Table 7 Colorful - Accent 6"/>
    <w:basedOn w:val="7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9">
    <w:name w:val="Lined - Accent"/>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7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7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7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7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7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7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7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7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0">
    <w:name w:val="Heading 7"/>
    <w:basedOn w:val="904"/>
    <w:next w:val="904"/>
    <w:link w:val="86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1">
    <w:name w:val="Heading 8"/>
    <w:basedOn w:val="904"/>
    <w:next w:val="904"/>
    <w:link w:val="86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2">
    <w:name w:val="Heading 9"/>
    <w:basedOn w:val="904"/>
    <w:next w:val="904"/>
    <w:link w:val="86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3" w:default="1">
    <w:name w:val="Default Paragraph Font"/>
    <w:uiPriority w:val="1"/>
    <w:semiHidden/>
    <w:unhideWhenUsed/>
    <w:pPr>
      <w:pBdr/>
      <w:spacing/>
      <w:ind/>
    </w:pPr>
  </w:style>
  <w:style w:type="numbering" w:styleId="854" w:default="1">
    <w:name w:val="No List"/>
    <w:uiPriority w:val="99"/>
    <w:semiHidden/>
    <w:unhideWhenUsed/>
    <w:pPr>
      <w:pBdr/>
      <w:spacing/>
      <w:ind/>
    </w:pPr>
  </w:style>
  <w:style w:type="character" w:styleId="855">
    <w:name w:val="Heading 1 Char"/>
    <w:basedOn w:val="853"/>
    <w:link w:val="905"/>
    <w:uiPriority w:val="9"/>
    <w:pPr>
      <w:pBdr/>
      <w:spacing/>
      <w:ind/>
    </w:pPr>
    <w:rPr>
      <w:rFonts w:ascii="Arial" w:hAnsi="Arial" w:eastAsia="Arial" w:cs="Arial"/>
      <w:color w:val="0f4761" w:themeColor="accent1" w:themeShade="BF"/>
      <w:sz w:val="40"/>
      <w:szCs w:val="40"/>
    </w:rPr>
  </w:style>
  <w:style w:type="character" w:styleId="856">
    <w:name w:val="Heading 2 Char"/>
    <w:basedOn w:val="853"/>
    <w:link w:val="906"/>
    <w:uiPriority w:val="9"/>
    <w:pPr>
      <w:pBdr/>
      <w:spacing/>
      <w:ind/>
    </w:pPr>
    <w:rPr>
      <w:rFonts w:ascii="Arial" w:hAnsi="Arial" w:eastAsia="Arial" w:cs="Arial"/>
      <w:color w:val="0f4761" w:themeColor="accent1" w:themeShade="BF"/>
      <w:sz w:val="32"/>
      <w:szCs w:val="32"/>
    </w:rPr>
  </w:style>
  <w:style w:type="character" w:styleId="857">
    <w:name w:val="Heading 3 Char"/>
    <w:basedOn w:val="853"/>
    <w:link w:val="907"/>
    <w:uiPriority w:val="9"/>
    <w:pPr>
      <w:pBdr/>
      <w:spacing/>
      <w:ind/>
    </w:pPr>
    <w:rPr>
      <w:rFonts w:ascii="Arial" w:hAnsi="Arial" w:eastAsia="Arial" w:cs="Arial"/>
      <w:color w:val="0f4761" w:themeColor="accent1" w:themeShade="BF"/>
      <w:sz w:val="28"/>
      <w:szCs w:val="28"/>
    </w:rPr>
  </w:style>
  <w:style w:type="character" w:styleId="858">
    <w:name w:val="Heading 4 Char"/>
    <w:basedOn w:val="853"/>
    <w:link w:val="908"/>
    <w:uiPriority w:val="9"/>
    <w:pPr>
      <w:pBdr/>
      <w:spacing/>
      <w:ind/>
    </w:pPr>
    <w:rPr>
      <w:rFonts w:ascii="Arial" w:hAnsi="Arial" w:eastAsia="Arial" w:cs="Arial"/>
      <w:i/>
      <w:iCs/>
      <w:color w:val="0f4761" w:themeColor="accent1" w:themeShade="BF"/>
    </w:rPr>
  </w:style>
  <w:style w:type="character" w:styleId="859">
    <w:name w:val="Heading 5 Char"/>
    <w:basedOn w:val="853"/>
    <w:link w:val="909"/>
    <w:uiPriority w:val="9"/>
    <w:pPr>
      <w:pBdr/>
      <w:spacing/>
      <w:ind/>
    </w:pPr>
    <w:rPr>
      <w:rFonts w:ascii="Arial" w:hAnsi="Arial" w:eastAsia="Arial" w:cs="Arial"/>
      <w:color w:val="0f4761" w:themeColor="accent1" w:themeShade="BF"/>
    </w:rPr>
  </w:style>
  <w:style w:type="character" w:styleId="860">
    <w:name w:val="Heading 6 Char"/>
    <w:basedOn w:val="853"/>
    <w:link w:val="910"/>
    <w:uiPriority w:val="9"/>
    <w:pPr>
      <w:pBdr/>
      <w:spacing/>
      <w:ind/>
    </w:pPr>
    <w:rPr>
      <w:rFonts w:ascii="Arial" w:hAnsi="Arial" w:eastAsia="Arial" w:cs="Arial"/>
      <w:i/>
      <w:iCs/>
      <w:color w:val="595959" w:themeColor="text1" w:themeTint="A6"/>
    </w:rPr>
  </w:style>
  <w:style w:type="character" w:styleId="861">
    <w:name w:val="Heading 7 Char"/>
    <w:basedOn w:val="853"/>
    <w:link w:val="850"/>
    <w:uiPriority w:val="9"/>
    <w:pPr>
      <w:pBdr/>
      <w:spacing/>
      <w:ind/>
    </w:pPr>
    <w:rPr>
      <w:rFonts w:ascii="Arial" w:hAnsi="Arial" w:eastAsia="Arial" w:cs="Arial"/>
      <w:color w:val="595959" w:themeColor="text1" w:themeTint="A6"/>
    </w:rPr>
  </w:style>
  <w:style w:type="character" w:styleId="862">
    <w:name w:val="Heading 8 Char"/>
    <w:basedOn w:val="853"/>
    <w:link w:val="851"/>
    <w:uiPriority w:val="9"/>
    <w:pPr>
      <w:pBdr/>
      <w:spacing/>
      <w:ind/>
    </w:pPr>
    <w:rPr>
      <w:rFonts w:ascii="Arial" w:hAnsi="Arial" w:eastAsia="Arial" w:cs="Arial"/>
      <w:i/>
      <w:iCs/>
      <w:color w:val="272727" w:themeColor="text1" w:themeTint="D8"/>
    </w:rPr>
  </w:style>
  <w:style w:type="character" w:styleId="863">
    <w:name w:val="Heading 9 Char"/>
    <w:basedOn w:val="853"/>
    <w:link w:val="852"/>
    <w:uiPriority w:val="9"/>
    <w:pPr>
      <w:pBdr/>
      <w:spacing/>
      <w:ind/>
    </w:pPr>
    <w:rPr>
      <w:rFonts w:ascii="Arial" w:hAnsi="Arial" w:eastAsia="Arial" w:cs="Arial"/>
      <w:i/>
      <w:iCs/>
      <w:color w:val="272727" w:themeColor="text1" w:themeTint="D8"/>
    </w:rPr>
  </w:style>
  <w:style w:type="character" w:styleId="864">
    <w:name w:val="Title Char"/>
    <w:basedOn w:val="853"/>
    <w:link w:val="911"/>
    <w:uiPriority w:val="10"/>
    <w:pPr>
      <w:pBdr/>
      <w:spacing/>
      <w:ind/>
    </w:pPr>
    <w:rPr>
      <w:rFonts w:ascii="Arial" w:hAnsi="Arial" w:eastAsia="Arial" w:cs="Arial"/>
      <w:spacing w:val="-10"/>
      <w:sz w:val="56"/>
      <w:szCs w:val="56"/>
    </w:rPr>
  </w:style>
  <w:style w:type="character" w:styleId="865">
    <w:name w:val="Subtitle Char"/>
    <w:basedOn w:val="853"/>
    <w:link w:val="912"/>
    <w:uiPriority w:val="11"/>
    <w:pPr>
      <w:pBdr/>
      <w:spacing/>
      <w:ind/>
    </w:pPr>
    <w:rPr>
      <w:color w:val="595959" w:themeColor="text1" w:themeTint="A6"/>
      <w:spacing w:val="15"/>
      <w:sz w:val="28"/>
      <w:szCs w:val="28"/>
    </w:rPr>
  </w:style>
  <w:style w:type="paragraph" w:styleId="866">
    <w:name w:val="Quote"/>
    <w:basedOn w:val="904"/>
    <w:next w:val="904"/>
    <w:link w:val="867"/>
    <w:uiPriority w:val="29"/>
    <w:qFormat/>
    <w:pPr>
      <w:pBdr/>
      <w:spacing w:before="160"/>
      <w:ind/>
      <w:jc w:val="center"/>
    </w:pPr>
    <w:rPr>
      <w:i/>
      <w:iCs/>
      <w:color w:val="404040" w:themeColor="text1" w:themeTint="BF"/>
    </w:rPr>
  </w:style>
  <w:style w:type="character" w:styleId="867">
    <w:name w:val="Quote Char"/>
    <w:basedOn w:val="853"/>
    <w:link w:val="866"/>
    <w:uiPriority w:val="29"/>
    <w:pPr>
      <w:pBdr/>
      <w:spacing/>
      <w:ind/>
    </w:pPr>
    <w:rPr>
      <w:i/>
      <w:iCs/>
      <w:color w:val="404040" w:themeColor="text1" w:themeTint="BF"/>
    </w:rPr>
  </w:style>
  <w:style w:type="paragraph" w:styleId="868">
    <w:name w:val="List Paragraph"/>
    <w:basedOn w:val="904"/>
    <w:uiPriority w:val="34"/>
    <w:qFormat/>
    <w:pPr>
      <w:pBdr/>
      <w:spacing/>
      <w:ind w:left="720"/>
      <w:contextualSpacing w:val="true"/>
    </w:pPr>
  </w:style>
  <w:style w:type="character" w:styleId="869">
    <w:name w:val="Intense Emphasis"/>
    <w:basedOn w:val="853"/>
    <w:uiPriority w:val="21"/>
    <w:qFormat/>
    <w:pPr>
      <w:pBdr/>
      <w:spacing/>
      <w:ind/>
    </w:pPr>
    <w:rPr>
      <w:i/>
      <w:iCs/>
      <w:color w:val="0f4761" w:themeColor="accent1" w:themeShade="BF"/>
    </w:rPr>
  </w:style>
  <w:style w:type="paragraph" w:styleId="870">
    <w:name w:val="Intense Quote"/>
    <w:basedOn w:val="904"/>
    <w:next w:val="904"/>
    <w:link w:val="87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1">
    <w:name w:val="Intense Quote Char"/>
    <w:basedOn w:val="853"/>
    <w:link w:val="870"/>
    <w:uiPriority w:val="30"/>
    <w:pPr>
      <w:pBdr/>
      <w:spacing/>
      <w:ind/>
    </w:pPr>
    <w:rPr>
      <w:i/>
      <w:iCs/>
      <w:color w:val="0f4761" w:themeColor="accent1" w:themeShade="BF"/>
    </w:rPr>
  </w:style>
  <w:style w:type="character" w:styleId="872">
    <w:name w:val="Intense Reference"/>
    <w:basedOn w:val="853"/>
    <w:uiPriority w:val="32"/>
    <w:qFormat/>
    <w:pPr>
      <w:pBdr/>
      <w:spacing/>
      <w:ind/>
    </w:pPr>
    <w:rPr>
      <w:b/>
      <w:bCs/>
      <w:smallCaps/>
      <w:color w:val="0f4761" w:themeColor="accent1" w:themeShade="BF"/>
      <w:spacing w:val="5"/>
    </w:rPr>
  </w:style>
  <w:style w:type="paragraph" w:styleId="873">
    <w:name w:val="No Spacing"/>
    <w:basedOn w:val="904"/>
    <w:uiPriority w:val="1"/>
    <w:qFormat/>
    <w:pPr>
      <w:pBdr/>
      <w:spacing w:after="0" w:line="240" w:lineRule="auto"/>
      <w:ind/>
    </w:pPr>
  </w:style>
  <w:style w:type="character" w:styleId="874">
    <w:name w:val="Subtle Emphasis"/>
    <w:basedOn w:val="853"/>
    <w:uiPriority w:val="19"/>
    <w:qFormat/>
    <w:pPr>
      <w:pBdr/>
      <w:spacing/>
      <w:ind/>
    </w:pPr>
    <w:rPr>
      <w:i/>
      <w:iCs/>
      <w:color w:val="404040" w:themeColor="text1" w:themeTint="BF"/>
    </w:rPr>
  </w:style>
  <w:style w:type="character" w:styleId="875">
    <w:name w:val="Emphasis"/>
    <w:basedOn w:val="853"/>
    <w:uiPriority w:val="20"/>
    <w:qFormat/>
    <w:pPr>
      <w:pBdr/>
      <w:spacing/>
      <w:ind/>
    </w:pPr>
    <w:rPr>
      <w:i/>
      <w:iCs/>
    </w:rPr>
  </w:style>
  <w:style w:type="character" w:styleId="876">
    <w:name w:val="Strong"/>
    <w:basedOn w:val="853"/>
    <w:uiPriority w:val="22"/>
    <w:qFormat/>
    <w:pPr>
      <w:pBdr/>
      <w:spacing/>
      <w:ind/>
    </w:pPr>
    <w:rPr>
      <w:b/>
      <w:bCs/>
    </w:rPr>
  </w:style>
  <w:style w:type="character" w:styleId="877">
    <w:name w:val="Subtle Reference"/>
    <w:basedOn w:val="853"/>
    <w:uiPriority w:val="31"/>
    <w:qFormat/>
    <w:pPr>
      <w:pBdr/>
      <w:spacing/>
      <w:ind/>
    </w:pPr>
    <w:rPr>
      <w:smallCaps/>
      <w:color w:val="5a5a5a" w:themeColor="text1" w:themeTint="A5"/>
    </w:rPr>
  </w:style>
  <w:style w:type="character" w:styleId="878">
    <w:name w:val="Book Title"/>
    <w:basedOn w:val="853"/>
    <w:uiPriority w:val="33"/>
    <w:qFormat/>
    <w:pPr>
      <w:pBdr/>
      <w:spacing/>
      <w:ind/>
    </w:pPr>
    <w:rPr>
      <w:b/>
      <w:bCs/>
      <w:i/>
      <w:iCs/>
      <w:spacing w:val="5"/>
    </w:rPr>
  </w:style>
  <w:style w:type="paragraph" w:styleId="879">
    <w:name w:val="Header"/>
    <w:basedOn w:val="904"/>
    <w:link w:val="880"/>
    <w:uiPriority w:val="99"/>
    <w:unhideWhenUsed/>
    <w:pPr>
      <w:pBdr/>
      <w:tabs>
        <w:tab w:val="center" w:leader="none" w:pos="4844"/>
        <w:tab w:val="right" w:leader="none" w:pos="9689"/>
      </w:tabs>
      <w:spacing w:after="0" w:line="240" w:lineRule="auto"/>
      <w:ind/>
    </w:pPr>
  </w:style>
  <w:style w:type="character" w:styleId="880">
    <w:name w:val="Header Char"/>
    <w:basedOn w:val="853"/>
    <w:link w:val="879"/>
    <w:uiPriority w:val="99"/>
    <w:pPr>
      <w:pBdr/>
      <w:spacing/>
      <w:ind/>
    </w:pPr>
  </w:style>
  <w:style w:type="paragraph" w:styleId="881">
    <w:name w:val="Footer"/>
    <w:basedOn w:val="904"/>
    <w:link w:val="882"/>
    <w:uiPriority w:val="99"/>
    <w:unhideWhenUsed/>
    <w:pPr>
      <w:pBdr/>
      <w:tabs>
        <w:tab w:val="center" w:leader="none" w:pos="4844"/>
        <w:tab w:val="right" w:leader="none" w:pos="9689"/>
      </w:tabs>
      <w:spacing w:after="0" w:line="240" w:lineRule="auto"/>
      <w:ind/>
    </w:pPr>
  </w:style>
  <w:style w:type="character" w:styleId="882">
    <w:name w:val="Footer Char"/>
    <w:basedOn w:val="853"/>
    <w:link w:val="881"/>
    <w:uiPriority w:val="99"/>
    <w:pPr>
      <w:pBdr/>
      <w:spacing/>
      <w:ind/>
    </w:pPr>
  </w:style>
  <w:style w:type="paragraph" w:styleId="883">
    <w:name w:val="Caption"/>
    <w:basedOn w:val="904"/>
    <w:next w:val="904"/>
    <w:uiPriority w:val="35"/>
    <w:unhideWhenUsed/>
    <w:qFormat/>
    <w:pPr>
      <w:pBdr/>
      <w:spacing w:after="200" w:line="240" w:lineRule="auto"/>
      <w:ind/>
    </w:pPr>
    <w:rPr>
      <w:i/>
      <w:iCs/>
      <w:color w:val="0e2841" w:themeColor="text2"/>
      <w:sz w:val="18"/>
      <w:szCs w:val="18"/>
    </w:rPr>
  </w:style>
  <w:style w:type="paragraph" w:styleId="884">
    <w:name w:val="footnote text"/>
    <w:basedOn w:val="904"/>
    <w:link w:val="885"/>
    <w:uiPriority w:val="99"/>
    <w:semiHidden/>
    <w:unhideWhenUsed/>
    <w:pPr>
      <w:pBdr/>
      <w:spacing w:after="0" w:line="240" w:lineRule="auto"/>
      <w:ind/>
    </w:pPr>
    <w:rPr>
      <w:sz w:val="20"/>
      <w:szCs w:val="20"/>
    </w:rPr>
  </w:style>
  <w:style w:type="character" w:styleId="885">
    <w:name w:val="Footnote Text Char"/>
    <w:basedOn w:val="853"/>
    <w:link w:val="884"/>
    <w:uiPriority w:val="99"/>
    <w:semiHidden/>
    <w:pPr>
      <w:pBdr/>
      <w:spacing/>
      <w:ind/>
    </w:pPr>
    <w:rPr>
      <w:sz w:val="20"/>
      <w:szCs w:val="20"/>
    </w:rPr>
  </w:style>
  <w:style w:type="character" w:styleId="886">
    <w:name w:val="footnote reference"/>
    <w:basedOn w:val="853"/>
    <w:uiPriority w:val="99"/>
    <w:semiHidden/>
    <w:unhideWhenUsed/>
    <w:pPr>
      <w:pBdr/>
      <w:spacing/>
      <w:ind/>
    </w:pPr>
    <w:rPr>
      <w:vertAlign w:val="superscript"/>
    </w:rPr>
  </w:style>
  <w:style w:type="paragraph" w:styleId="887">
    <w:name w:val="endnote text"/>
    <w:basedOn w:val="904"/>
    <w:link w:val="888"/>
    <w:uiPriority w:val="99"/>
    <w:semiHidden/>
    <w:unhideWhenUsed/>
    <w:pPr>
      <w:pBdr/>
      <w:spacing w:after="0" w:line="240" w:lineRule="auto"/>
      <w:ind/>
    </w:pPr>
    <w:rPr>
      <w:sz w:val="20"/>
      <w:szCs w:val="20"/>
    </w:rPr>
  </w:style>
  <w:style w:type="character" w:styleId="888">
    <w:name w:val="Endnote Text Char"/>
    <w:basedOn w:val="853"/>
    <w:link w:val="887"/>
    <w:uiPriority w:val="99"/>
    <w:semiHidden/>
    <w:pPr>
      <w:pBdr/>
      <w:spacing/>
      <w:ind/>
    </w:pPr>
    <w:rPr>
      <w:sz w:val="20"/>
      <w:szCs w:val="20"/>
    </w:rPr>
  </w:style>
  <w:style w:type="character" w:styleId="889">
    <w:name w:val="endnote reference"/>
    <w:basedOn w:val="853"/>
    <w:uiPriority w:val="99"/>
    <w:semiHidden/>
    <w:unhideWhenUsed/>
    <w:pPr>
      <w:pBdr/>
      <w:spacing/>
      <w:ind/>
    </w:pPr>
    <w:rPr>
      <w:vertAlign w:val="superscript"/>
    </w:rPr>
  </w:style>
  <w:style w:type="character" w:styleId="890">
    <w:name w:val="Hyperlink"/>
    <w:basedOn w:val="853"/>
    <w:uiPriority w:val="99"/>
    <w:unhideWhenUsed/>
    <w:pPr>
      <w:pBdr/>
      <w:spacing/>
      <w:ind/>
    </w:pPr>
    <w:rPr>
      <w:color w:val="0563c1" w:themeColor="hyperlink"/>
      <w:u w:val="single"/>
    </w:rPr>
  </w:style>
  <w:style w:type="character" w:styleId="891">
    <w:name w:val="FollowedHyperlink"/>
    <w:basedOn w:val="853"/>
    <w:uiPriority w:val="99"/>
    <w:semiHidden/>
    <w:unhideWhenUsed/>
    <w:pPr>
      <w:pBdr/>
      <w:spacing/>
      <w:ind/>
    </w:pPr>
    <w:rPr>
      <w:color w:val="954f72" w:themeColor="followedHyperlink"/>
      <w:u w:val="single"/>
    </w:rPr>
  </w:style>
  <w:style w:type="paragraph" w:styleId="892">
    <w:name w:val="toc 1"/>
    <w:basedOn w:val="904"/>
    <w:next w:val="904"/>
    <w:uiPriority w:val="39"/>
    <w:unhideWhenUsed/>
    <w:pPr>
      <w:pBdr/>
      <w:spacing w:after="100"/>
      <w:ind/>
    </w:pPr>
  </w:style>
  <w:style w:type="paragraph" w:styleId="893">
    <w:name w:val="toc 2"/>
    <w:basedOn w:val="904"/>
    <w:next w:val="904"/>
    <w:uiPriority w:val="39"/>
    <w:unhideWhenUsed/>
    <w:pPr>
      <w:pBdr/>
      <w:spacing w:after="100"/>
      <w:ind w:left="220"/>
    </w:pPr>
  </w:style>
  <w:style w:type="paragraph" w:styleId="894">
    <w:name w:val="toc 3"/>
    <w:basedOn w:val="904"/>
    <w:next w:val="904"/>
    <w:uiPriority w:val="39"/>
    <w:unhideWhenUsed/>
    <w:pPr>
      <w:pBdr/>
      <w:spacing w:after="100"/>
      <w:ind w:left="440"/>
    </w:pPr>
  </w:style>
  <w:style w:type="paragraph" w:styleId="895">
    <w:name w:val="toc 4"/>
    <w:basedOn w:val="904"/>
    <w:next w:val="904"/>
    <w:uiPriority w:val="39"/>
    <w:unhideWhenUsed/>
    <w:pPr>
      <w:pBdr/>
      <w:spacing w:after="100"/>
      <w:ind w:left="660"/>
    </w:pPr>
  </w:style>
  <w:style w:type="paragraph" w:styleId="896">
    <w:name w:val="toc 5"/>
    <w:basedOn w:val="904"/>
    <w:next w:val="904"/>
    <w:uiPriority w:val="39"/>
    <w:unhideWhenUsed/>
    <w:pPr>
      <w:pBdr/>
      <w:spacing w:after="100"/>
      <w:ind w:left="880"/>
    </w:pPr>
  </w:style>
  <w:style w:type="paragraph" w:styleId="897">
    <w:name w:val="toc 6"/>
    <w:basedOn w:val="904"/>
    <w:next w:val="904"/>
    <w:uiPriority w:val="39"/>
    <w:unhideWhenUsed/>
    <w:pPr>
      <w:pBdr/>
      <w:spacing w:after="100"/>
      <w:ind w:left="1100"/>
    </w:pPr>
  </w:style>
  <w:style w:type="paragraph" w:styleId="898">
    <w:name w:val="toc 7"/>
    <w:basedOn w:val="904"/>
    <w:next w:val="904"/>
    <w:uiPriority w:val="39"/>
    <w:unhideWhenUsed/>
    <w:pPr>
      <w:pBdr/>
      <w:spacing w:after="100"/>
      <w:ind w:left="1320"/>
    </w:pPr>
  </w:style>
  <w:style w:type="paragraph" w:styleId="899">
    <w:name w:val="toc 8"/>
    <w:basedOn w:val="904"/>
    <w:next w:val="904"/>
    <w:uiPriority w:val="39"/>
    <w:unhideWhenUsed/>
    <w:pPr>
      <w:pBdr/>
      <w:spacing w:after="100"/>
      <w:ind w:left="1540"/>
    </w:pPr>
  </w:style>
  <w:style w:type="paragraph" w:styleId="900">
    <w:name w:val="toc 9"/>
    <w:basedOn w:val="904"/>
    <w:next w:val="904"/>
    <w:uiPriority w:val="39"/>
    <w:unhideWhenUsed/>
    <w:pPr>
      <w:pBdr/>
      <w:spacing w:after="100"/>
      <w:ind w:left="1760"/>
    </w:pPr>
  </w:style>
  <w:style w:type="paragraph" w:styleId="901">
    <w:name w:val="TOC Heading"/>
    <w:uiPriority w:val="39"/>
    <w:unhideWhenUsed/>
    <w:pPr>
      <w:pBdr/>
      <w:spacing/>
      <w:ind/>
    </w:pPr>
  </w:style>
  <w:style w:type="paragraph" w:styleId="902">
    <w:name w:val="table of figures"/>
    <w:basedOn w:val="904"/>
    <w:next w:val="904"/>
    <w:uiPriority w:val="99"/>
    <w:unhideWhenUsed/>
    <w:pPr>
      <w:pBdr/>
      <w:spacing w:after="0" w:afterAutospacing="0"/>
      <w:ind/>
    </w:pPr>
  </w:style>
  <w:style w:type="table" w:styleId="903">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4" w:default="1">
    <w:name w:val="Normal"/>
    <w:pPr>
      <w:pBdr/>
      <w:spacing/>
      <w:ind/>
    </w:pPr>
  </w:style>
  <w:style w:type="paragraph" w:styleId="905">
    <w:name w:val="Heading 1"/>
    <w:basedOn w:val="904"/>
    <w:next w:val="904"/>
    <w:pPr>
      <w:keepNext w:val="true"/>
      <w:keepLines w:val="true"/>
      <w:pageBreakBefore w:val="false"/>
      <w:pBdr/>
      <w:spacing w:after="120" w:before="480"/>
      <w:ind/>
    </w:pPr>
    <w:rPr>
      <w:b/>
      <w:sz w:val="48"/>
      <w:szCs w:val="48"/>
    </w:rPr>
  </w:style>
  <w:style w:type="paragraph" w:styleId="906">
    <w:name w:val="Heading 2"/>
    <w:basedOn w:val="904"/>
    <w:next w:val="904"/>
    <w:pPr>
      <w:keepNext w:val="true"/>
      <w:keepLines w:val="true"/>
      <w:pageBreakBefore w:val="false"/>
      <w:pBdr/>
      <w:spacing w:after="80" w:before="360"/>
      <w:ind/>
    </w:pPr>
    <w:rPr>
      <w:b/>
      <w:sz w:val="36"/>
      <w:szCs w:val="36"/>
    </w:rPr>
  </w:style>
  <w:style w:type="paragraph" w:styleId="907">
    <w:name w:val="Heading 3"/>
    <w:basedOn w:val="904"/>
    <w:next w:val="904"/>
    <w:pPr>
      <w:keepNext w:val="true"/>
      <w:keepLines w:val="true"/>
      <w:pageBreakBefore w:val="false"/>
      <w:pBdr/>
      <w:spacing w:after="80" w:before="280"/>
      <w:ind/>
    </w:pPr>
    <w:rPr>
      <w:b/>
      <w:sz w:val="28"/>
      <w:szCs w:val="28"/>
    </w:rPr>
  </w:style>
  <w:style w:type="paragraph" w:styleId="908">
    <w:name w:val="Heading 4"/>
    <w:basedOn w:val="904"/>
    <w:next w:val="904"/>
    <w:pPr>
      <w:keepNext w:val="true"/>
      <w:keepLines w:val="true"/>
      <w:pageBreakBefore w:val="false"/>
      <w:pBdr/>
      <w:spacing w:after="40" w:before="240"/>
      <w:ind/>
    </w:pPr>
    <w:rPr>
      <w:b/>
      <w:sz w:val="24"/>
      <w:szCs w:val="24"/>
    </w:rPr>
  </w:style>
  <w:style w:type="paragraph" w:styleId="909">
    <w:name w:val="Heading 5"/>
    <w:basedOn w:val="904"/>
    <w:next w:val="904"/>
    <w:pPr>
      <w:keepNext w:val="true"/>
      <w:keepLines w:val="true"/>
      <w:pageBreakBefore w:val="false"/>
      <w:pBdr/>
      <w:spacing w:after="40" w:before="220"/>
      <w:ind/>
    </w:pPr>
    <w:rPr>
      <w:b/>
      <w:sz w:val="22"/>
      <w:szCs w:val="22"/>
    </w:rPr>
  </w:style>
  <w:style w:type="paragraph" w:styleId="910">
    <w:name w:val="Heading 6"/>
    <w:basedOn w:val="904"/>
    <w:next w:val="904"/>
    <w:pPr>
      <w:keepNext w:val="true"/>
      <w:keepLines w:val="true"/>
      <w:pageBreakBefore w:val="false"/>
      <w:pBdr/>
      <w:spacing w:after="40" w:before="200"/>
      <w:ind/>
    </w:pPr>
    <w:rPr>
      <w:b/>
      <w:sz w:val="20"/>
      <w:szCs w:val="20"/>
    </w:rPr>
  </w:style>
  <w:style w:type="paragraph" w:styleId="911">
    <w:name w:val="Title"/>
    <w:basedOn w:val="904"/>
    <w:next w:val="904"/>
    <w:pPr>
      <w:keepNext w:val="true"/>
      <w:keepLines w:val="true"/>
      <w:pageBreakBefore w:val="false"/>
      <w:pBdr/>
      <w:spacing w:after="120" w:before="480"/>
      <w:ind/>
    </w:pPr>
    <w:rPr>
      <w:b/>
      <w:sz w:val="72"/>
      <w:szCs w:val="72"/>
    </w:rPr>
  </w:style>
  <w:style w:type="paragraph" w:styleId="912">
    <w:name w:val="Subtitle"/>
    <w:basedOn w:val="904"/>
    <w:next w:val="904"/>
    <w:pPr>
      <w:keepNext w:val="true"/>
      <w:keepLines w:val="true"/>
      <w:pageBreakBefore w:val="false"/>
      <w:pBdr/>
      <w:spacing w:after="80" w:before="360"/>
      <w:ind/>
    </w:pPr>
    <w:rPr>
      <w:rFonts w:ascii="Georgia" w:hAnsi="Georgia" w:eastAsia="Georgia" w:cs="Georgia"/>
      <w:i/>
      <w:color w:val="666666"/>
      <w:sz w:val="48"/>
      <w:szCs w:val="48"/>
    </w:rPr>
  </w:style>
  <w:style w:type="table" w:styleId="913">
    <w:name w:val="StGen0"/>
    <w:basedOn w:val="903"/>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image" Target="media/image2.png"/><Relationship Id="rId11" Type="http://schemas.openxmlformats.org/officeDocument/2006/relationships/image" Target="media/image3.jpg"/><Relationship Id="rId12" Type="http://schemas.openxmlformats.org/officeDocument/2006/relationships/hyperlink" Target="https://conseiller-numerique.gouv.fr/" TargetMode="External"/><Relationship Id="rId13" Type="http://schemas.openxmlformats.org/officeDocument/2006/relationships/hyperlink" Target="https://www.canva.com/design/DAGngsuZLOE/fraf6uGiKfkK_yJuZB55eQ/view?utm_content=DAGngsuZLOE&amp;utm_campaign=designshare&amp;utm_medium=link2&amp;utm_source=uniquelinks&amp;utlId=h7bee8b8aac#1" TargetMode="External"/><Relationship Id="rId14" Type="http://schemas.openxmlformats.org/officeDocument/2006/relationships/hyperlink" Target="https://aide.conseiller-numerique.gouv.fr/fr/article/les-prestations-dun-conseiller-numerique-peuvent-elles-etre-facturees-1mptcq/" TargetMode="External"/><Relationship Id="rId15" Type="http://schemas.openxmlformats.org/officeDocument/2006/relationships/hyperlink" Target="https://resana.numerique.gouv.fr/public/information/consulterAccessUrl?cle_url=1370922170AW0EYgoCAGsMMAMzUDxQdFc7BTcGJwkwAW4DZlQ8XmYBNAc2BmdXZlA3BGFUYA==" TargetMode="External"/><Relationship Id="rId16" Type="http://schemas.openxmlformats.org/officeDocument/2006/relationships/hyperlink" Target="https://www.canva.com/design/DAGxJu9gKhA/GGY8LBBBP-VlYbe-5eNyDA/edit" TargetMode="External"/><Relationship Id="rId17" Type="http://schemas.openxmlformats.org/officeDocument/2006/relationships/comments" Target="comments.xml" /><Relationship Id="rId18" Type="http://schemas.microsoft.com/office/2011/relationships/commentsExtended" Target="commentsExtended.xml" /><Relationship Id="rId19" Type="http://schemas.microsoft.com/office/2018/08/relationships/commentsExtensible" Target="commentsExtensible.xml" /><Relationship Id="rId20" Type="http://schemas.microsoft.com/office/2016/09/relationships/commentsIds" Target="commentsIds.xml" /><Relationship Id="rId21" Type="http://schemas.microsoft.com/office/2011/relationships/people" Target="people.xml" /><Relationship Id="rId22" Type="http://schemas.onlyoffice.com/commentsDocument" Target="commentsDocument.xml" /><Relationship Id="rId23" Type="http://schemas.onlyoffice.com/commentsExtendedDocument" Target="commentsExtendedDocument.xml" /><Relationship Id="rId24"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4</cp:revision>
  <dcterms:modified xsi:type="dcterms:W3CDTF">2025-10-10T14:14:55Z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